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i/>
          <w:iCs/>
          <w:color w:val="2D2D2D"/>
          <w:sz w:val="32"/>
          <w:szCs w:val="32"/>
        </w:rPr>
      </w:pPr>
      <w:r>
        <w:rPr>
          <w:rFonts w:ascii="Calibri" w:hAnsi="Calibri"/>
          <w:color w:val="2D2D2D"/>
          <w:sz w:val="32"/>
          <w:szCs w:val="32"/>
        </w:rPr>
        <w:t>Komisja Europejska przyjęła akt prawny w postaci </w:t>
      </w:r>
      <w:hyperlink r:id="rId5" w:history="1">
        <w:r>
          <w:rPr>
            <w:rStyle w:val="Hipercze"/>
            <w:rFonts w:ascii="Calibri" w:hAnsi="Calibri"/>
            <w:i/>
            <w:iCs/>
            <w:color w:val="auto"/>
            <w:sz w:val="32"/>
            <w:szCs w:val="32"/>
          </w:rPr>
          <w:t>rozporządzenia wykonawczego Komisji (UE) 2</w:t>
        </w:r>
        <w:r>
          <w:rPr>
            <w:rStyle w:val="Hipercze"/>
            <w:rFonts w:ascii="Calibri" w:hAnsi="Calibri"/>
            <w:i/>
            <w:iCs/>
            <w:color w:val="auto"/>
            <w:sz w:val="32"/>
            <w:szCs w:val="32"/>
          </w:rPr>
          <w:t xml:space="preserve">020/466 z dnia 30 marca 2020 r. w sprawie środków tymczasowych mających na celu ograniczenie ryzyka dla zdrowia ludzi, zwierząt i roślin oraz dobrostanu zwierząt podczas określonych poważnych zakłóceń w systemach kontroli państw członkowskich z powodu choroby </w:t>
        </w:r>
        <w:proofErr w:type="spellStart"/>
        <w:r>
          <w:rPr>
            <w:rStyle w:val="Hipercze"/>
            <w:rFonts w:ascii="Calibri" w:hAnsi="Calibri"/>
            <w:i/>
            <w:iCs/>
            <w:color w:val="auto"/>
            <w:sz w:val="32"/>
            <w:szCs w:val="32"/>
          </w:rPr>
          <w:t>koronawirusowej</w:t>
        </w:r>
        <w:proofErr w:type="spellEnd"/>
        <w:r>
          <w:rPr>
            <w:rStyle w:val="Hipercze"/>
            <w:rFonts w:ascii="Calibri" w:hAnsi="Calibri"/>
            <w:i/>
            <w:iCs/>
            <w:color w:val="auto"/>
            <w:sz w:val="32"/>
            <w:szCs w:val="32"/>
          </w:rPr>
          <w:t xml:space="preserve"> (COVID-19).</w:t>
        </w:r>
      </w:hyperlink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22"/>
          <w:szCs w:val="22"/>
        </w:rPr>
      </w:pPr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22"/>
          <w:szCs w:val="22"/>
        </w:rPr>
      </w:pPr>
      <w:r>
        <w:rPr>
          <w:rFonts w:ascii="Calibri" w:hAnsi="Calibri"/>
          <w:color w:val="2D2D2D"/>
          <w:sz w:val="32"/>
          <w:szCs w:val="32"/>
        </w:rPr>
        <w:t>Wspomniane rozporządzenie ustanawia środki tymczasowe, które powinny mieć zastosowanie przez dwa miesiące od jego wejścia w życie, czyli </w:t>
      </w:r>
      <w:r>
        <w:rPr>
          <w:rFonts w:ascii="Calibri" w:hAnsi="Calibri"/>
          <w:b/>
          <w:bCs/>
          <w:color w:val="2D2D2D"/>
          <w:sz w:val="32"/>
          <w:szCs w:val="32"/>
        </w:rPr>
        <w:t>od dnia 1 kwietnia 2020r.</w:t>
      </w:r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32"/>
          <w:szCs w:val="32"/>
        </w:rPr>
      </w:pPr>
      <w:r>
        <w:rPr>
          <w:rFonts w:ascii="Calibri" w:hAnsi="Calibri"/>
          <w:color w:val="2D2D2D"/>
          <w:sz w:val="32"/>
          <w:szCs w:val="32"/>
        </w:rPr>
        <w:t>W rozporządzeniu tym koncepcja kontroli dokumentów na podstawie kopii oryginałów urzędowych świadectw zdrowia czy poświadczeń urzędowych została poszerzona, co oznacza, że ​​jeżeli świadectwa nie są przedkładane w systemie TRACES, wówczas zeskanowane kopie powinny być akceptowane nawet jeśli nie są wysyłane z adresu e-mail należącego do właściwej władzy centralnej państwa trzeciego. </w:t>
      </w:r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32"/>
          <w:szCs w:val="32"/>
        </w:rPr>
      </w:pPr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22"/>
          <w:szCs w:val="22"/>
        </w:rPr>
      </w:pPr>
      <w:r>
        <w:rPr>
          <w:rFonts w:ascii="Calibri" w:hAnsi="Calibri"/>
          <w:b/>
          <w:bCs/>
          <w:color w:val="2D2D2D"/>
          <w:sz w:val="32"/>
          <w:szCs w:val="32"/>
        </w:rPr>
        <w:t>W obu przypadkach warunkiem akceptacji kopii świadectw jest złożenie przez podmiot odpowiedzialny za przesyłkę oświadczenia, w którym zobowiąże się on do dostarczenia oryginalnych wersji na późniejszym etapie tak szybko, jak jest to technicznie możliwe</w:t>
      </w:r>
      <w:r>
        <w:rPr>
          <w:rFonts w:ascii="Calibri" w:hAnsi="Calibri"/>
          <w:color w:val="2D2D2D"/>
          <w:sz w:val="32"/>
          <w:szCs w:val="32"/>
        </w:rPr>
        <w:t>.</w:t>
      </w:r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22"/>
          <w:szCs w:val="22"/>
        </w:rPr>
      </w:pPr>
      <w:r>
        <w:rPr>
          <w:rFonts w:ascii="Calibri" w:hAnsi="Calibri"/>
          <w:color w:val="2D2D2D"/>
          <w:sz w:val="32"/>
          <w:szCs w:val="32"/>
        </w:rPr>
        <w:t> </w:t>
      </w:r>
    </w:p>
    <w:p w:rsidR="00146545" w:rsidRDefault="00146545" w:rsidP="00146545">
      <w:pPr>
        <w:pStyle w:val="gwp14ac6010msonormal"/>
        <w:shd w:val="clear" w:color="auto" w:fill="FFFFFF"/>
        <w:spacing w:before="0" w:beforeAutospacing="0" w:after="0" w:afterAutospacing="0"/>
        <w:rPr>
          <w:rFonts w:ascii="Calibri" w:hAnsi="Calibri"/>
          <w:color w:val="2D2D2D"/>
          <w:sz w:val="22"/>
          <w:szCs w:val="22"/>
        </w:rPr>
      </w:pPr>
      <w:r>
        <w:rPr>
          <w:rFonts w:ascii="Calibri" w:hAnsi="Calibri"/>
          <w:color w:val="2D2D2D"/>
          <w:sz w:val="32"/>
          <w:szCs w:val="32"/>
        </w:rPr>
        <w:t>Jednocześnie informujemy, że każda sprawa będzie rozpatrywana indywidualnie.</w:t>
      </w:r>
    </w:p>
    <w:p w:rsidR="006A511D" w:rsidRDefault="006A511D"/>
    <w:p w:rsidR="00074966" w:rsidRDefault="00074966"/>
    <w:p w:rsidR="00074966" w:rsidRDefault="00074966">
      <w:r>
        <w:t>ŹRÓDŁO:</w:t>
      </w:r>
    </w:p>
    <w:p w:rsidR="00074966" w:rsidRDefault="00074966">
      <w:r>
        <w:t>https://eur</w:t>
      </w:r>
      <w:r w:rsidRPr="00074966">
        <w:t>lex.europa.eu/search.html?DTN=0466&amp;DTA=2020&amp;qid=1585660782134&amp;DB_TYPE_OF_ACT=regulation&amp;DTS_DOM=ALL&amp;excConsLeg=true&amp;typeOfActStatus=REGULATION&amp;type=advanced&amp;SUBDOM_INIT=ALL_ALL&amp;DTS_SUBDOM=ALL_ALL</w:t>
      </w:r>
    </w:p>
    <w:sectPr w:rsidR="00074966" w:rsidSect="0014654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545"/>
    <w:rsid w:val="00074966"/>
    <w:rsid w:val="00146545"/>
    <w:rsid w:val="006A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11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4ac6010msonormal">
    <w:name w:val="gwp14ac6010_msonormal"/>
    <w:basedOn w:val="Normalny"/>
    <w:rsid w:val="0014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654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65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search.html?DTN=0466&amp;DTA=2020&amp;qid=1585660782134&amp;DB_TYPE_OF_ACT=regulation&amp;DTS_DOM=ALL&amp;excConsLeg=true&amp;typeOfActStatus=REGULATION&amp;type=advanced&amp;SUBDOM_INIT=ALL_ALL&amp;DTS_SUBDOM=ALL_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333DF-2C9C-4C1D-859D-8F8BD481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cp:lastPrinted>2020-04-02T19:59:00Z</cp:lastPrinted>
  <dcterms:created xsi:type="dcterms:W3CDTF">2020-04-02T20:22:00Z</dcterms:created>
  <dcterms:modified xsi:type="dcterms:W3CDTF">2020-04-02T20:22:00Z</dcterms:modified>
</cp:coreProperties>
</file>